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71" w:rsidRDefault="00990AB3">
      <w:pPr>
        <w:spacing w:line="400" w:lineRule="exact"/>
        <w:jc w:val="center"/>
        <w:rPr>
          <w:rFonts w:ascii="宋体" w:eastAsia="宋体" w:hAnsi="宋体"/>
          <w:bCs/>
        </w:rPr>
      </w:pPr>
      <w:r>
        <w:rPr>
          <w:rFonts w:hint="eastAsia"/>
          <w:b/>
          <w:bCs/>
          <w:sz w:val="30"/>
          <w:szCs w:val="30"/>
        </w:rPr>
        <w:t>202</w:t>
      </w:r>
      <w:r w:rsidR="00503215">
        <w:rPr>
          <w:rFonts w:hint="eastAsia"/>
          <w:b/>
          <w:bCs/>
          <w:sz w:val="30"/>
          <w:szCs w:val="30"/>
        </w:rPr>
        <w:t>2</w:t>
      </w:r>
      <w:r>
        <w:rPr>
          <w:rFonts w:hint="eastAsia"/>
          <w:b/>
          <w:bCs/>
          <w:sz w:val="30"/>
          <w:szCs w:val="30"/>
        </w:rPr>
        <w:t>年硕士研究生自命题科目考试大纲</w:t>
      </w:r>
    </w:p>
    <w:tbl>
      <w:tblPr>
        <w:tblpPr w:leftFromText="180" w:rightFromText="180" w:vertAnchor="page" w:horzAnchor="margin" w:tblpY="2098"/>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6157"/>
      </w:tblGrid>
      <w:tr w:rsidR="00880A71">
        <w:trPr>
          <w:trHeight w:val="435"/>
        </w:trPr>
        <w:tc>
          <w:tcPr>
            <w:tcW w:w="2207" w:type="dxa"/>
            <w:vAlign w:val="bottom"/>
          </w:tcPr>
          <w:p w:rsidR="00880A71" w:rsidRDefault="00990AB3" w:rsidP="00503215">
            <w:pPr>
              <w:spacing w:afterLines="15"/>
              <w:ind w:leftChars="-50" w:left="-120" w:rightChars="-50" w:right="-120"/>
              <w:jc w:val="center"/>
              <w:rPr>
                <w:rFonts w:ascii="宋体" w:hAnsi="宋体"/>
                <w:b/>
              </w:rPr>
            </w:pPr>
            <w:r>
              <w:rPr>
                <w:rFonts w:ascii="宋体" w:hAnsi="宋体" w:hint="eastAsia"/>
                <w:b/>
              </w:rPr>
              <w:t>科目代码、科目名称</w:t>
            </w:r>
            <w:r>
              <w:rPr>
                <w:rFonts w:ascii="宋体" w:hAnsi="宋体" w:hint="eastAsia"/>
                <w:b/>
              </w:rPr>
              <w:t>:</w:t>
            </w:r>
          </w:p>
        </w:tc>
        <w:tc>
          <w:tcPr>
            <w:tcW w:w="6157" w:type="dxa"/>
            <w:vAlign w:val="bottom"/>
          </w:tcPr>
          <w:p w:rsidR="00880A71" w:rsidRDefault="00990AB3" w:rsidP="00503215">
            <w:pPr>
              <w:spacing w:afterLines="20"/>
            </w:pPr>
            <w:r>
              <w:rPr>
                <w:rFonts w:hint="eastAsia"/>
              </w:rPr>
              <w:t>科目代码科目</w:t>
            </w:r>
            <w:r>
              <w:rPr>
                <w:rFonts w:hint="eastAsia"/>
              </w:rPr>
              <w:t xml:space="preserve"> 620    </w:t>
            </w:r>
            <w:r>
              <w:rPr>
                <w:rFonts w:hint="eastAsia"/>
              </w:rPr>
              <w:t>名称</w:t>
            </w:r>
            <w:r>
              <w:rPr>
                <w:rFonts w:hint="eastAsia"/>
              </w:rPr>
              <w:t>:</w:t>
            </w:r>
            <w:r>
              <w:rPr>
                <w:rFonts w:hint="eastAsia"/>
              </w:rPr>
              <w:t>无机与分析化学</w:t>
            </w:r>
          </w:p>
        </w:tc>
      </w:tr>
      <w:tr w:rsidR="00880A71">
        <w:trPr>
          <w:trHeight w:val="856"/>
        </w:trPr>
        <w:tc>
          <w:tcPr>
            <w:tcW w:w="8364" w:type="dxa"/>
            <w:gridSpan w:val="2"/>
          </w:tcPr>
          <w:p w:rsidR="00880A71" w:rsidRDefault="00990AB3" w:rsidP="00503215">
            <w:pPr>
              <w:spacing w:afterLines="15"/>
              <w:ind w:leftChars="-50" w:left="-120" w:rightChars="-50" w:right="-120"/>
              <w:jc w:val="left"/>
              <w:rPr>
                <w:rFonts w:ascii="宋体" w:hAnsi="宋体"/>
                <w:bCs/>
              </w:rPr>
            </w:pPr>
            <w:r>
              <w:rPr>
                <w:rFonts w:ascii="宋体" w:hAnsi="宋体" w:hint="eastAsia"/>
                <w:bCs/>
              </w:rPr>
              <w:t>一、基本内容</w:t>
            </w:r>
          </w:p>
          <w:p w:rsidR="00880A71" w:rsidRDefault="00990AB3">
            <w:pPr>
              <w:spacing w:line="400" w:lineRule="exact"/>
              <w:jc w:val="left"/>
              <w:rPr>
                <w:rFonts w:ascii="宋体" w:eastAsia="宋体" w:hAnsi="宋体"/>
                <w:bCs/>
                <w:sz w:val="21"/>
                <w:szCs w:val="21"/>
              </w:rPr>
            </w:pPr>
            <w:r>
              <w:rPr>
                <w:rFonts w:ascii="宋体" w:eastAsia="宋体" w:hAnsi="宋体" w:hint="eastAsia"/>
                <w:bCs/>
              </w:rPr>
              <w:t xml:space="preserve">  </w:t>
            </w:r>
            <w:r>
              <w:rPr>
                <w:rFonts w:ascii="宋体" w:eastAsia="宋体" w:hAnsi="宋体" w:hint="eastAsia"/>
                <w:bCs/>
                <w:sz w:val="21"/>
                <w:szCs w:val="21"/>
              </w:rPr>
              <w:t>本大纲的基本内容分为四个层次：初步了解、了解、理解、掌握（或会</w:t>
            </w:r>
            <w:r>
              <w:rPr>
                <w:rFonts w:ascii="宋体" w:eastAsia="宋体" w:hAnsi="宋体" w:hint="eastAsia"/>
                <w:bCs/>
                <w:sz w:val="21"/>
                <w:szCs w:val="21"/>
              </w:rPr>
              <w:t>/</w:t>
            </w:r>
            <w:r>
              <w:rPr>
                <w:rFonts w:ascii="宋体" w:eastAsia="宋体" w:hAnsi="宋体" w:hint="eastAsia"/>
                <w:bCs/>
                <w:sz w:val="21"/>
                <w:szCs w:val="21"/>
              </w:rPr>
              <w:t>会用</w:t>
            </w:r>
            <w:r>
              <w:rPr>
                <w:rFonts w:ascii="宋体" w:eastAsia="宋体" w:hAnsi="宋体" w:hint="eastAsia"/>
                <w:bCs/>
                <w:sz w:val="21"/>
                <w:szCs w:val="21"/>
              </w:rPr>
              <w:t>/</w:t>
            </w:r>
            <w:r>
              <w:rPr>
                <w:rFonts w:ascii="宋体" w:eastAsia="宋体" w:hAnsi="宋体" w:hint="eastAsia"/>
                <w:bCs/>
                <w:sz w:val="21"/>
                <w:szCs w:val="21"/>
              </w:rPr>
              <w:t>会计算）</w:t>
            </w:r>
          </w:p>
          <w:p w:rsidR="00880A71" w:rsidRDefault="00990AB3">
            <w:pPr>
              <w:spacing w:line="360" w:lineRule="auto"/>
              <w:jc w:val="left"/>
              <w:rPr>
                <w:rFonts w:ascii="宋体" w:eastAsia="宋体" w:hAnsi="宋体"/>
                <w:sz w:val="21"/>
                <w:szCs w:val="21"/>
              </w:rPr>
            </w:pPr>
            <w:r>
              <w:rPr>
                <w:rFonts w:ascii="宋体" w:eastAsia="宋体" w:hAnsi="宋体"/>
                <w:b/>
                <w:kern w:val="0"/>
                <w:sz w:val="21"/>
                <w:szCs w:val="21"/>
              </w:rPr>
              <w:t>第</w:t>
            </w:r>
            <w:r>
              <w:rPr>
                <w:rFonts w:ascii="宋体" w:eastAsia="宋体" w:hAnsi="宋体" w:hint="eastAsia"/>
                <w:b/>
                <w:kern w:val="0"/>
                <w:sz w:val="21"/>
                <w:szCs w:val="21"/>
              </w:rPr>
              <w:t>2</w:t>
            </w:r>
            <w:r>
              <w:rPr>
                <w:rFonts w:ascii="宋体" w:eastAsia="宋体" w:hAnsi="宋体"/>
                <w:b/>
                <w:kern w:val="0"/>
                <w:sz w:val="21"/>
                <w:szCs w:val="21"/>
              </w:rPr>
              <w:t>章</w:t>
            </w:r>
            <w:r>
              <w:rPr>
                <w:rFonts w:ascii="宋体" w:eastAsia="宋体" w:hAnsi="宋体"/>
                <w:b/>
                <w:kern w:val="0"/>
                <w:sz w:val="21"/>
                <w:szCs w:val="21"/>
              </w:rPr>
              <w:t xml:space="preserve"> </w:t>
            </w:r>
            <w:r>
              <w:rPr>
                <w:rFonts w:ascii="宋体" w:eastAsia="宋体" w:hAnsi="宋体"/>
                <w:b/>
                <w:kern w:val="0"/>
                <w:sz w:val="21"/>
                <w:szCs w:val="21"/>
              </w:rPr>
              <w:t>化学平衡</w:t>
            </w:r>
          </w:p>
          <w:p w:rsidR="00880A71" w:rsidRDefault="00990AB3">
            <w:pPr>
              <w:spacing w:line="360" w:lineRule="auto"/>
              <w:ind w:firstLineChars="100" w:firstLine="210"/>
              <w:jc w:val="left"/>
              <w:rPr>
                <w:rFonts w:ascii="宋体" w:eastAsia="宋体" w:hAnsi="宋体"/>
                <w:sz w:val="21"/>
                <w:szCs w:val="21"/>
              </w:rPr>
            </w:pPr>
            <w:r>
              <w:rPr>
                <w:rFonts w:ascii="宋体" w:eastAsia="宋体" w:hAnsi="宋体"/>
                <w:sz w:val="21"/>
                <w:szCs w:val="21"/>
              </w:rPr>
              <w:t>掌握标准平衡常数</w:t>
            </w:r>
            <w:r>
              <w:rPr>
                <w:rFonts w:ascii="宋体" w:eastAsia="宋体" w:hAnsi="宋体"/>
                <w:i/>
                <w:sz w:val="21"/>
                <w:szCs w:val="21"/>
              </w:rPr>
              <w:t>K</w:t>
            </w:r>
            <w:r>
              <w:rPr>
                <w:rFonts w:ascii="宋体" w:eastAsia="宋体" w:hAnsi="宋体"/>
                <w:sz w:val="21"/>
                <w:szCs w:val="21"/>
                <w:vertAlign w:val="superscript"/>
              </w:rPr>
              <w:t>Θ</w:t>
            </w:r>
            <w:r>
              <w:rPr>
                <w:rFonts w:ascii="宋体" w:eastAsia="宋体" w:hAnsi="宋体"/>
                <w:sz w:val="21"/>
                <w:szCs w:val="21"/>
              </w:rPr>
              <w:t>的意义和</w:t>
            </w:r>
            <w:r>
              <w:rPr>
                <w:rFonts w:ascii="宋体" w:eastAsia="宋体" w:hAnsi="宋体" w:hint="eastAsia"/>
                <w:sz w:val="21"/>
                <w:szCs w:val="21"/>
              </w:rPr>
              <w:t>表达式；</w:t>
            </w:r>
            <w:r>
              <w:rPr>
                <w:rFonts w:ascii="宋体" w:eastAsia="宋体" w:hAnsi="宋体"/>
                <w:sz w:val="21"/>
                <w:szCs w:val="21"/>
              </w:rPr>
              <w:t>会用多重平衡规则计算反应的标准平衡常数，</w:t>
            </w:r>
            <w:r>
              <w:rPr>
                <w:rFonts w:ascii="宋体" w:eastAsia="宋体" w:hAnsi="宋体" w:hint="eastAsia"/>
                <w:kern w:val="0"/>
                <w:sz w:val="21"/>
                <w:szCs w:val="21"/>
              </w:rPr>
              <w:t>会用标准</w:t>
            </w:r>
            <w:r>
              <w:rPr>
                <w:rFonts w:ascii="宋体" w:eastAsia="宋体" w:hAnsi="宋体"/>
                <w:kern w:val="0"/>
                <w:sz w:val="21"/>
                <w:szCs w:val="21"/>
              </w:rPr>
              <w:t>平衡常数预测化学反应的方向</w:t>
            </w:r>
            <w:r>
              <w:rPr>
                <w:rFonts w:ascii="宋体" w:eastAsia="宋体" w:hAnsi="宋体" w:hint="eastAsia"/>
                <w:kern w:val="0"/>
                <w:sz w:val="21"/>
                <w:szCs w:val="21"/>
              </w:rPr>
              <w:t>、</w:t>
            </w:r>
            <w:r>
              <w:rPr>
                <w:rFonts w:ascii="宋体" w:eastAsia="宋体" w:hAnsi="宋体"/>
                <w:kern w:val="0"/>
                <w:sz w:val="21"/>
                <w:szCs w:val="21"/>
              </w:rPr>
              <w:t>判断反应的程度</w:t>
            </w:r>
            <w:r>
              <w:rPr>
                <w:rFonts w:ascii="宋体" w:eastAsia="宋体" w:hAnsi="宋体" w:hint="eastAsia"/>
                <w:kern w:val="0"/>
                <w:sz w:val="21"/>
                <w:szCs w:val="21"/>
              </w:rPr>
              <w:t>；</w:t>
            </w:r>
            <w:r>
              <w:rPr>
                <w:rFonts w:ascii="宋体" w:eastAsia="宋体" w:hAnsi="宋体"/>
                <w:sz w:val="21"/>
                <w:szCs w:val="21"/>
              </w:rPr>
              <w:t>掌握化学平衡移动的规律</w:t>
            </w:r>
            <w:r>
              <w:rPr>
                <w:rFonts w:ascii="宋体" w:eastAsia="宋体" w:hAnsi="宋体" w:hint="eastAsia"/>
                <w:sz w:val="21"/>
                <w:szCs w:val="21"/>
              </w:rPr>
              <w:t>；</w:t>
            </w:r>
            <w:r>
              <w:rPr>
                <w:rFonts w:ascii="宋体" w:eastAsia="宋体" w:hAnsi="宋体"/>
                <w:sz w:val="21"/>
                <w:szCs w:val="21"/>
              </w:rPr>
              <w:t>了解反应转化率和化学平衡的计算，</w:t>
            </w:r>
          </w:p>
          <w:p w:rsidR="00880A71" w:rsidRDefault="00990AB3">
            <w:pPr>
              <w:pStyle w:val="a4"/>
              <w:spacing w:after="0" w:line="360" w:lineRule="auto"/>
              <w:ind w:left="0"/>
              <w:rPr>
                <w:rFonts w:ascii="宋体" w:hAnsi="宋体"/>
                <w:b/>
                <w:szCs w:val="21"/>
              </w:rPr>
            </w:pPr>
            <w:r>
              <w:rPr>
                <w:rFonts w:ascii="宋体" w:hAnsi="宋体" w:hint="eastAsia"/>
                <w:b/>
                <w:szCs w:val="21"/>
              </w:rPr>
              <w:t>第</w:t>
            </w:r>
            <w:r>
              <w:rPr>
                <w:rFonts w:ascii="宋体" w:hAnsi="宋体" w:hint="eastAsia"/>
                <w:b/>
                <w:szCs w:val="21"/>
              </w:rPr>
              <w:t>3</w:t>
            </w:r>
            <w:r>
              <w:rPr>
                <w:rFonts w:ascii="宋体" w:hAnsi="宋体" w:hint="eastAsia"/>
                <w:b/>
                <w:szCs w:val="21"/>
              </w:rPr>
              <w:t>章</w:t>
            </w:r>
            <w:r>
              <w:rPr>
                <w:rFonts w:ascii="宋体" w:hAnsi="宋体" w:hint="eastAsia"/>
                <w:b/>
                <w:szCs w:val="21"/>
              </w:rPr>
              <w:t xml:space="preserve">  </w:t>
            </w:r>
            <w:r>
              <w:rPr>
                <w:rFonts w:ascii="宋体" w:hAnsi="宋体" w:hint="eastAsia"/>
                <w:b/>
                <w:szCs w:val="21"/>
              </w:rPr>
              <w:t>定量分析概论</w:t>
            </w:r>
          </w:p>
          <w:p w:rsidR="00880A71" w:rsidRDefault="00990AB3">
            <w:pPr>
              <w:pStyle w:val="a4"/>
              <w:spacing w:after="0" w:line="360" w:lineRule="auto"/>
              <w:ind w:left="0" w:firstLineChars="200" w:firstLine="420"/>
              <w:rPr>
                <w:rFonts w:ascii="宋体" w:hAnsi="宋体"/>
                <w:szCs w:val="21"/>
              </w:rPr>
            </w:pPr>
            <w:r>
              <w:rPr>
                <w:rFonts w:ascii="宋体" w:hAnsi="宋体"/>
                <w:kern w:val="0"/>
                <w:szCs w:val="21"/>
              </w:rPr>
              <w:t>了解</w:t>
            </w:r>
            <w:r>
              <w:rPr>
                <w:rFonts w:ascii="宋体" w:hAnsi="宋体" w:hint="eastAsia"/>
                <w:kern w:val="0"/>
                <w:szCs w:val="21"/>
              </w:rPr>
              <w:t>定量</w:t>
            </w:r>
            <w:r>
              <w:rPr>
                <w:rFonts w:ascii="宋体" w:hAnsi="宋体"/>
                <w:kern w:val="0"/>
                <w:szCs w:val="21"/>
              </w:rPr>
              <w:t>分析的一般程序</w:t>
            </w:r>
            <w:r>
              <w:rPr>
                <w:rFonts w:ascii="宋体" w:hAnsi="宋体" w:hint="eastAsia"/>
                <w:kern w:val="0"/>
                <w:szCs w:val="21"/>
              </w:rPr>
              <w:t>；了解</w:t>
            </w:r>
            <w:r>
              <w:rPr>
                <w:rFonts w:ascii="宋体" w:hAnsi="宋体"/>
                <w:kern w:val="0"/>
                <w:szCs w:val="21"/>
              </w:rPr>
              <w:t>分析方法的分类</w:t>
            </w:r>
            <w:r>
              <w:rPr>
                <w:rFonts w:ascii="宋体" w:hAnsi="宋体" w:hint="eastAsia"/>
                <w:kern w:val="0"/>
                <w:szCs w:val="21"/>
              </w:rPr>
              <w:t>；</w:t>
            </w:r>
            <w:r>
              <w:rPr>
                <w:rFonts w:ascii="宋体" w:hAnsi="宋体" w:hint="eastAsia"/>
                <w:szCs w:val="21"/>
              </w:rPr>
              <w:t>掌握分析结果的表示方法。</w:t>
            </w:r>
            <w:r>
              <w:rPr>
                <w:rFonts w:ascii="宋体" w:hAnsi="宋体" w:hint="eastAsia"/>
                <w:kern w:val="0"/>
                <w:szCs w:val="21"/>
              </w:rPr>
              <w:t>了解</w:t>
            </w:r>
            <w:r>
              <w:rPr>
                <w:rFonts w:ascii="宋体" w:hAnsi="宋体" w:hint="eastAsia"/>
                <w:szCs w:val="21"/>
              </w:rPr>
              <w:t>分析结果的</w:t>
            </w:r>
            <w:r>
              <w:rPr>
                <w:rFonts w:ascii="宋体" w:hAnsi="宋体"/>
                <w:kern w:val="0"/>
                <w:szCs w:val="21"/>
              </w:rPr>
              <w:t>准确度和精密度，了解系统误差、偶然误差及减免的方法，</w:t>
            </w:r>
            <w:r>
              <w:rPr>
                <w:rFonts w:ascii="宋体" w:hAnsi="宋体" w:hint="eastAsia"/>
                <w:kern w:val="0"/>
                <w:szCs w:val="21"/>
              </w:rPr>
              <w:t>会计算</w:t>
            </w:r>
            <w:r>
              <w:rPr>
                <w:rFonts w:ascii="宋体" w:hAnsi="宋体"/>
                <w:kern w:val="0"/>
                <w:szCs w:val="21"/>
              </w:rPr>
              <w:t>平均偏差</w:t>
            </w:r>
            <w:r>
              <w:rPr>
                <w:rFonts w:ascii="宋体" w:hAnsi="宋体" w:hint="eastAsia"/>
                <w:kern w:val="0"/>
                <w:szCs w:val="21"/>
              </w:rPr>
              <w:t>和相对平均偏差；</w:t>
            </w:r>
            <w:r>
              <w:rPr>
                <w:rFonts w:ascii="宋体" w:hAnsi="宋体"/>
                <w:kern w:val="0"/>
                <w:szCs w:val="21"/>
              </w:rPr>
              <w:t>掌握有效数字的概念及运算规则</w:t>
            </w:r>
            <w:r>
              <w:rPr>
                <w:rFonts w:ascii="宋体" w:hAnsi="宋体" w:hint="eastAsia"/>
                <w:kern w:val="0"/>
                <w:szCs w:val="21"/>
              </w:rPr>
              <w:t>；</w:t>
            </w:r>
            <w:r>
              <w:rPr>
                <w:rFonts w:ascii="宋体" w:hAnsi="宋体"/>
                <w:kern w:val="0"/>
                <w:szCs w:val="21"/>
              </w:rPr>
              <w:t>会用</w:t>
            </w:r>
            <w:r>
              <w:rPr>
                <w:rFonts w:ascii="宋体" w:hAnsi="宋体"/>
                <w:kern w:val="0"/>
                <w:szCs w:val="21"/>
              </w:rPr>
              <w:t>Q</w:t>
            </w:r>
            <w:r>
              <w:rPr>
                <w:rFonts w:ascii="宋体" w:hAnsi="宋体"/>
                <w:kern w:val="0"/>
                <w:szCs w:val="21"/>
              </w:rPr>
              <w:t>检验法对可疑数据进行取舍。掌握</w:t>
            </w:r>
            <w:r>
              <w:rPr>
                <w:rFonts w:ascii="宋体" w:hAnsi="宋体" w:hint="eastAsia"/>
                <w:szCs w:val="21"/>
              </w:rPr>
              <w:t>滴定分析的常用术语；了解</w:t>
            </w:r>
            <w:r>
              <w:rPr>
                <w:rFonts w:ascii="宋体" w:hAnsi="宋体"/>
                <w:kern w:val="0"/>
                <w:szCs w:val="21"/>
              </w:rPr>
              <w:t>滴定分析基本概念和原理，掌握滴定分析的条件，</w:t>
            </w:r>
            <w:r>
              <w:rPr>
                <w:rFonts w:ascii="宋体" w:hAnsi="宋体" w:hint="eastAsia"/>
                <w:szCs w:val="21"/>
              </w:rPr>
              <w:t>了解滴定分析法对化学反应的要求和滴定方式。掌握滴定分析的结果计算方法；掌握标准溶液的配制、浓度表示方法及其有关浓度计算。</w:t>
            </w:r>
          </w:p>
          <w:p w:rsidR="00880A71" w:rsidRDefault="00990AB3">
            <w:pPr>
              <w:spacing w:line="360" w:lineRule="auto"/>
              <w:jc w:val="left"/>
              <w:rPr>
                <w:rFonts w:ascii="宋体" w:eastAsia="宋体" w:hAnsi="宋体"/>
                <w:b/>
                <w:sz w:val="21"/>
                <w:szCs w:val="21"/>
              </w:rPr>
            </w:pPr>
            <w:r>
              <w:rPr>
                <w:rFonts w:ascii="宋体" w:eastAsia="宋体" w:hAnsi="宋体" w:hint="eastAsia"/>
                <w:b/>
                <w:kern w:val="0"/>
                <w:sz w:val="21"/>
                <w:szCs w:val="21"/>
              </w:rPr>
              <w:t>第</w:t>
            </w:r>
            <w:r>
              <w:rPr>
                <w:rFonts w:ascii="宋体" w:eastAsia="宋体" w:hAnsi="宋体" w:hint="eastAsia"/>
                <w:b/>
                <w:kern w:val="0"/>
                <w:sz w:val="21"/>
                <w:szCs w:val="21"/>
              </w:rPr>
              <w:t>4</w:t>
            </w:r>
            <w:r>
              <w:rPr>
                <w:rFonts w:ascii="宋体" w:eastAsia="宋体" w:hAnsi="宋体" w:hint="eastAsia"/>
                <w:b/>
                <w:kern w:val="0"/>
                <w:sz w:val="21"/>
                <w:szCs w:val="21"/>
              </w:rPr>
              <w:t>章</w:t>
            </w:r>
            <w:r>
              <w:rPr>
                <w:rFonts w:ascii="宋体" w:eastAsia="宋体" w:hAnsi="宋体" w:hint="eastAsia"/>
                <w:b/>
                <w:kern w:val="0"/>
                <w:sz w:val="21"/>
                <w:szCs w:val="21"/>
              </w:rPr>
              <w:t xml:space="preserve">  </w:t>
            </w:r>
            <w:r>
              <w:rPr>
                <w:rFonts w:ascii="宋体" w:eastAsia="宋体" w:hAnsi="宋体" w:hint="eastAsia"/>
                <w:b/>
                <w:bCs/>
                <w:kern w:val="0"/>
                <w:sz w:val="21"/>
                <w:szCs w:val="21"/>
              </w:rPr>
              <w:t>酸碱平衡与酸碱滴定法</w:t>
            </w:r>
          </w:p>
          <w:p w:rsidR="00880A71" w:rsidRDefault="00990AB3">
            <w:pPr>
              <w:pStyle w:val="a8"/>
              <w:spacing w:after="0" w:line="360" w:lineRule="auto"/>
              <w:rPr>
                <w:rFonts w:ascii="宋体" w:hAnsi="宋体"/>
                <w:szCs w:val="21"/>
              </w:rPr>
            </w:pPr>
            <w:r>
              <w:rPr>
                <w:rFonts w:ascii="宋体" w:hAnsi="宋体" w:hint="eastAsia"/>
                <w:szCs w:val="21"/>
              </w:rPr>
              <w:t>掌握酸碱质子理论和酸碱离解平衡；初步了解活度和活度系数、离子强度的概念；掌握酸碱质子理论；掌握酸和碱的离解常数</w:t>
            </w:r>
            <w:r>
              <w:rPr>
                <w:rFonts w:ascii="宋体" w:hAnsi="宋体" w:hint="eastAsia"/>
                <w:szCs w:val="21"/>
              </w:rPr>
              <w:t>K</w:t>
            </w:r>
            <w:r>
              <w:rPr>
                <w:rFonts w:ascii="宋体" w:hAnsi="宋体"/>
                <w:szCs w:val="21"/>
              </w:rPr>
              <w:t>a</w:t>
            </w:r>
            <w:r>
              <w:rPr>
                <w:rFonts w:ascii="宋体" w:hAnsi="宋体" w:hint="eastAsia"/>
                <w:szCs w:val="21"/>
              </w:rPr>
              <w:t>、</w:t>
            </w:r>
            <w:r>
              <w:rPr>
                <w:rFonts w:ascii="宋体" w:hAnsi="宋体" w:hint="eastAsia"/>
                <w:szCs w:val="21"/>
              </w:rPr>
              <w:t>K</w:t>
            </w:r>
            <w:r>
              <w:rPr>
                <w:rFonts w:ascii="宋体" w:hAnsi="宋体"/>
                <w:szCs w:val="21"/>
              </w:rPr>
              <w:t>b</w:t>
            </w:r>
            <w:r>
              <w:rPr>
                <w:rFonts w:ascii="宋体" w:hAnsi="宋体" w:hint="eastAsia"/>
                <w:szCs w:val="21"/>
              </w:rPr>
              <w:t>及水的质子自递常数</w:t>
            </w:r>
            <w:proofErr w:type="spellStart"/>
            <w:r>
              <w:rPr>
                <w:rFonts w:ascii="宋体" w:hAnsi="宋体" w:hint="eastAsia"/>
                <w:szCs w:val="21"/>
              </w:rPr>
              <w:t>K</w:t>
            </w:r>
            <w:r>
              <w:rPr>
                <w:rFonts w:ascii="宋体" w:hAnsi="宋体"/>
                <w:szCs w:val="21"/>
              </w:rPr>
              <w:t>w</w:t>
            </w:r>
            <w:proofErr w:type="spellEnd"/>
            <w:r>
              <w:rPr>
                <w:rFonts w:ascii="宋体" w:hAnsi="宋体" w:hint="eastAsia"/>
                <w:szCs w:val="21"/>
              </w:rPr>
              <w:t>；掌握</w:t>
            </w:r>
            <w:r>
              <w:rPr>
                <w:rFonts w:ascii="宋体" w:hAnsi="宋体" w:hint="eastAsia"/>
                <w:szCs w:val="21"/>
              </w:rPr>
              <w:t>K</w:t>
            </w:r>
            <w:r>
              <w:rPr>
                <w:rFonts w:ascii="宋体" w:hAnsi="宋体"/>
                <w:szCs w:val="21"/>
              </w:rPr>
              <w:t>a</w:t>
            </w:r>
            <w:r>
              <w:rPr>
                <w:rFonts w:ascii="宋体" w:hAnsi="宋体" w:hint="eastAsia"/>
                <w:szCs w:val="21"/>
              </w:rPr>
              <w:t>，</w:t>
            </w:r>
            <w:r>
              <w:rPr>
                <w:rFonts w:ascii="宋体" w:hAnsi="宋体" w:hint="eastAsia"/>
                <w:szCs w:val="21"/>
              </w:rPr>
              <w:t>K</w:t>
            </w:r>
            <w:r>
              <w:rPr>
                <w:rFonts w:ascii="宋体" w:hAnsi="宋体"/>
                <w:szCs w:val="21"/>
                <w:vertAlign w:val="subscript"/>
              </w:rPr>
              <w:t>b</w:t>
            </w:r>
            <w:r>
              <w:rPr>
                <w:rFonts w:ascii="宋体" w:hAnsi="宋体" w:hint="eastAsia"/>
                <w:szCs w:val="21"/>
              </w:rPr>
              <w:t>与</w:t>
            </w:r>
            <w:proofErr w:type="spellStart"/>
            <w:r>
              <w:rPr>
                <w:rFonts w:ascii="宋体" w:hAnsi="宋体" w:hint="eastAsia"/>
                <w:szCs w:val="21"/>
              </w:rPr>
              <w:t>K</w:t>
            </w:r>
            <w:r>
              <w:rPr>
                <w:rFonts w:ascii="宋体" w:hAnsi="宋体"/>
                <w:szCs w:val="21"/>
              </w:rPr>
              <w:t>w</w:t>
            </w:r>
            <w:proofErr w:type="spellEnd"/>
            <w:r>
              <w:rPr>
                <w:rFonts w:ascii="宋体" w:hAnsi="宋体" w:hint="eastAsia"/>
                <w:szCs w:val="21"/>
              </w:rPr>
              <w:t>的关系；掌握各种酸碱溶液</w:t>
            </w:r>
            <w:r>
              <w:rPr>
                <w:rFonts w:ascii="宋体" w:hAnsi="宋体" w:hint="eastAsia"/>
                <w:szCs w:val="21"/>
              </w:rPr>
              <w:t>pH</w:t>
            </w:r>
            <w:r>
              <w:rPr>
                <w:rFonts w:ascii="宋体" w:hAnsi="宋体" w:hint="eastAsia"/>
                <w:szCs w:val="21"/>
              </w:rPr>
              <w:t>值的计算方法；了解溶液中酸碱组分的分布——分布系数和分布曲线；了解酸碱溶液的质子条件、掌握同离子效应对酸碱平衡体系的影响；掌握缓冲溶液的组成、配制和</w:t>
            </w:r>
            <w:r>
              <w:rPr>
                <w:rFonts w:ascii="宋体" w:hAnsi="宋体" w:hint="eastAsia"/>
                <w:szCs w:val="21"/>
              </w:rPr>
              <w:t>pH</w:t>
            </w:r>
            <w:r>
              <w:rPr>
                <w:rFonts w:ascii="宋体" w:hAnsi="宋体" w:hint="eastAsia"/>
                <w:szCs w:val="21"/>
              </w:rPr>
              <w:t>计算。了</w:t>
            </w:r>
            <w:r>
              <w:rPr>
                <w:rFonts w:ascii="宋体" w:hAnsi="宋体" w:hint="eastAsia"/>
                <w:kern w:val="0"/>
                <w:szCs w:val="21"/>
              </w:rPr>
              <w:t>解</w:t>
            </w:r>
            <w:r>
              <w:rPr>
                <w:rFonts w:ascii="宋体" w:hAnsi="宋体" w:hint="eastAsia"/>
                <w:szCs w:val="21"/>
              </w:rPr>
              <w:t>酸碱指标剂的变色原理和变色范围；掌握强碱（酸）滴定过程中溶液</w:t>
            </w:r>
            <w:r>
              <w:rPr>
                <w:rFonts w:ascii="宋体" w:hAnsi="宋体" w:hint="eastAsia"/>
                <w:szCs w:val="21"/>
              </w:rPr>
              <w:t>pH</w:t>
            </w:r>
            <w:r>
              <w:rPr>
                <w:rFonts w:ascii="宋体" w:hAnsi="宋体" w:hint="eastAsia"/>
                <w:szCs w:val="21"/>
              </w:rPr>
              <w:t>的计算、滴定曲线、滴定突跃、影响滴定突跃的因素和指示剂的选择；掌握强碱（酸）滴定一元弱酸（碱）过程中溶液</w:t>
            </w:r>
            <w:r>
              <w:rPr>
                <w:rFonts w:ascii="宋体" w:hAnsi="宋体"/>
                <w:szCs w:val="21"/>
              </w:rPr>
              <w:t>p</w:t>
            </w:r>
            <w:r>
              <w:rPr>
                <w:rFonts w:ascii="宋体" w:hAnsi="宋体" w:hint="eastAsia"/>
                <w:szCs w:val="21"/>
              </w:rPr>
              <w:t>H</w:t>
            </w:r>
            <w:r>
              <w:rPr>
                <w:rFonts w:ascii="宋体" w:hAnsi="宋体" w:hint="eastAsia"/>
                <w:szCs w:val="21"/>
              </w:rPr>
              <w:t>值的计算，滴定突跃影响因素和指示剂的选择，弱酸（碱）滴定的条件；掌握多元酸（碱）的分步滴定条件、化学计量点</w:t>
            </w:r>
            <w:r>
              <w:rPr>
                <w:rFonts w:ascii="宋体" w:hAnsi="宋体" w:hint="eastAsia"/>
                <w:szCs w:val="21"/>
              </w:rPr>
              <w:t>pH</w:t>
            </w:r>
            <w:r>
              <w:rPr>
                <w:rFonts w:ascii="宋体" w:hAnsi="宋体" w:hint="eastAsia"/>
                <w:szCs w:val="21"/>
              </w:rPr>
              <w:t>值的计算、指示剂的选择；掌握用双指示剂法滴定混合碱液；了解混合酸的滴定；掌握酸碱标准溶液的配制、标定及常用基准物质；掌握酸碱滴定的结果计算。</w:t>
            </w:r>
          </w:p>
          <w:p w:rsidR="00880A71" w:rsidRDefault="00990AB3">
            <w:pPr>
              <w:pStyle w:val="2"/>
              <w:spacing w:after="0" w:line="360" w:lineRule="auto"/>
              <w:ind w:left="0" w:firstLineChars="100" w:firstLine="211"/>
              <w:rPr>
                <w:rFonts w:ascii="宋体" w:hAnsi="宋体"/>
                <w:b/>
                <w:szCs w:val="21"/>
              </w:rPr>
            </w:pPr>
            <w:r>
              <w:rPr>
                <w:rFonts w:ascii="宋体" w:hAnsi="宋体" w:hint="eastAsia"/>
                <w:b/>
                <w:kern w:val="0"/>
                <w:szCs w:val="21"/>
              </w:rPr>
              <w:t>第</w:t>
            </w:r>
            <w:r>
              <w:rPr>
                <w:rFonts w:ascii="宋体" w:hAnsi="宋体" w:hint="eastAsia"/>
                <w:b/>
                <w:kern w:val="0"/>
                <w:szCs w:val="21"/>
              </w:rPr>
              <w:t>5</w:t>
            </w:r>
            <w:r>
              <w:rPr>
                <w:rFonts w:ascii="宋体" w:hAnsi="宋体" w:hint="eastAsia"/>
                <w:b/>
                <w:kern w:val="0"/>
                <w:szCs w:val="21"/>
              </w:rPr>
              <w:t>章</w:t>
            </w:r>
            <w:r>
              <w:rPr>
                <w:rFonts w:ascii="宋体" w:hAnsi="宋体" w:hint="eastAsia"/>
                <w:b/>
                <w:szCs w:val="21"/>
              </w:rPr>
              <w:t>沉淀平衡</w:t>
            </w:r>
          </w:p>
          <w:p w:rsidR="00880A71" w:rsidRDefault="00990AB3">
            <w:pPr>
              <w:pStyle w:val="a8"/>
              <w:spacing w:after="0" w:line="360" w:lineRule="auto"/>
              <w:rPr>
                <w:rFonts w:ascii="宋体" w:hAnsi="宋体"/>
                <w:szCs w:val="21"/>
              </w:rPr>
            </w:pPr>
            <w:r>
              <w:rPr>
                <w:rFonts w:ascii="宋体" w:hAnsi="宋体" w:hint="eastAsia"/>
                <w:szCs w:val="21"/>
              </w:rPr>
              <w:t>掌握溶度积常数及其与溶解度的换算方法；掌握同离子效应对沉淀平衡的影响；了解盐效应和酸效应对沉淀平衡的影响；掌握溶度积规则，会用溶度积规则计算判断沉淀的生成和溶解；掌握沉淀的转化和分步沉淀，会用沉淀的转化和分步沉淀的原理进行除杂和分</w:t>
            </w:r>
            <w:r>
              <w:rPr>
                <w:rFonts w:ascii="宋体" w:hAnsi="宋体" w:hint="eastAsia"/>
                <w:szCs w:val="21"/>
              </w:rPr>
              <w:lastRenderedPageBreak/>
              <w:t>离。</w:t>
            </w:r>
          </w:p>
          <w:p w:rsidR="00880A71" w:rsidRDefault="00990AB3">
            <w:pPr>
              <w:pStyle w:val="2"/>
              <w:spacing w:after="0" w:line="360" w:lineRule="auto"/>
              <w:ind w:left="0" w:firstLineChars="100" w:firstLine="211"/>
              <w:rPr>
                <w:rFonts w:ascii="宋体" w:hAnsi="宋体"/>
                <w:b/>
                <w:szCs w:val="21"/>
              </w:rPr>
            </w:pPr>
            <w:r>
              <w:rPr>
                <w:rFonts w:ascii="宋体" w:hAnsi="宋体" w:hint="eastAsia"/>
                <w:b/>
                <w:kern w:val="0"/>
                <w:szCs w:val="21"/>
              </w:rPr>
              <w:t>第</w:t>
            </w:r>
            <w:r>
              <w:rPr>
                <w:rFonts w:ascii="宋体" w:hAnsi="宋体" w:hint="eastAsia"/>
                <w:b/>
                <w:kern w:val="0"/>
                <w:szCs w:val="21"/>
              </w:rPr>
              <w:t>6</w:t>
            </w:r>
            <w:r>
              <w:rPr>
                <w:rFonts w:ascii="宋体" w:hAnsi="宋体" w:hint="eastAsia"/>
                <w:b/>
                <w:kern w:val="0"/>
                <w:szCs w:val="21"/>
              </w:rPr>
              <w:t>章</w:t>
            </w:r>
            <w:r>
              <w:rPr>
                <w:rFonts w:ascii="宋体" w:hAnsi="宋体" w:hint="eastAsia"/>
                <w:b/>
                <w:szCs w:val="21"/>
              </w:rPr>
              <w:t>氧化还原平衡和氧化还原滴定法</w:t>
            </w:r>
          </w:p>
          <w:p w:rsidR="00880A71" w:rsidRDefault="00990AB3">
            <w:pPr>
              <w:pStyle w:val="a8"/>
              <w:spacing w:after="0" w:line="360" w:lineRule="auto"/>
              <w:rPr>
                <w:rFonts w:ascii="宋体" w:hAnsi="宋体"/>
                <w:szCs w:val="21"/>
              </w:rPr>
            </w:pPr>
            <w:r>
              <w:rPr>
                <w:rFonts w:ascii="宋体" w:hAnsi="宋体" w:hint="eastAsia"/>
                <w:szCs w:val="21"/>
              </w:rPr>
              <w:t>掌握氧化还原反应的基本概念（氧化数、氧化和还原、氧化剂和还原剂、氧化还原电对、</w:t>
            </w:r>
            <w:r>
              <w:rPr>
                <w:rFonts w:ascii="宋体" w:hAnsi="宋体" w:hint="eastAsia"/>
                <w:szCs w:val="21"/>
              </w:rPr>
              <w:t>氧化还原半反应、离子</w:t>
            </w:r>
            <w:r>
              <w:rPr>
                <w:rFonts w:ascii="宋体" w:hAnsi="宋体" w:hint="eastAsia"/>
                <w:szCs w:val="21"/>
              </w:rPr>
              <w:t>-</w:t>
            </w:r>
            <w:r>
              <w:rPr>
                <w:rFonts w:ascii="宋体" w:hAnsi="宋体" w:hint="eastAsia"/>
                <w:szCs w:val="21"/>
              </w:rPr>
              <w:t>电子法配平氧化还原方程式）；了解原电池的工作原理、原电池的电池符号、电极反应、电池反应及电池符号与化学反应对应关系；了解电极电势与电池电动势的关系；理解标准电极电势和标准氢电极；掌握常见电极的能斯特方程式及其电极电势的计算；会选择合适的氧化剂和还原剂、会判断原电池正负极；会计算原电池的电动势；会判断氧化还原反应的方向、会计算氧化还原反应的平衡常数；理解元素电势图，会用元素电势图计算未知电对的电极电势和判断中间价态物质能否发生歧化反应。初步了解条件电极电势；初步了解氧化还原反应程度与条件</w:t>
            </w:r>
            <w:r>
              <w:rPr>
                <w:rFonts w:ascii="宋体" w:hAnsi="宋体" w:hint="eastAsia"/>
                <w:szCs w:val="21"/>
              </w:rPr>
              <w:t>电极电势的关系，初步了解条件平衡常数的计算方法，了解氧化还原滴定的样品预处理，初步了解反应速率对氧化还原滴定的影响，了解氧化还原滴定过程中电极电势的计算，会计算对称电对间滴定的化学计量点的电极电势，了解氧化还原滴定突跃的影响因素，了解氧化还原指示剂的变色原理和变色范围、氧化还原指示剂选择、自身指示剂和专属指示剂。掌握高锰酸钾标准溶液的配制和以草酸钠为基准物标定的滴定条件；了解高锰酸钾法测定铁；了解直接碘法，掌握碘和硫代硫酸钠标准溶液的配制和标定；掌握间接碘法（碘量法）基本反应反应条件的选择；掌握碘量法测定铜</w:t>
            </w:r>
            <w:r>
              <w:rPr>
                <w:rFonts w:ascii="宋体" w:hAnsi="宋体" w:hint="eastAsia"/>
                <w:szCs w:val="21"/>
              </w:rPr>
              <w:t>。了解重铬酸钾法测定铁；掌握氧化还原滴定结果的计算。</w:t>
            </w:r>
          </w:p>
          <w:p w:rsidR="00880A71" w:rsidRDefault="00990AB3">
            <w:pPr>
              <w:pStyle w:val="a4"/>
              <w:spacing w:after="0" w:line="360" w:lineRule="auto"/>
              <w:ind w:left="0" w:firstLineChars="100" w:firstLine="211"/>
              <w:rPr>
                <w:rFonts w:ascii="宋体" w:hAnsi="宋体"/>
                <w:szCs w:val="21"/>
              </w:rPr>
            </w:pPr>
            <w:r>
              <w:rPr>
                <w:rFonts w:ascii="宋体" w:hAnsi="宋体" w:hint="eastAsia"/>
                <w:b/>
                <w:kern w:val="0"/>
                <w:szCs w:val="21"/>
              </w:rPr>
              <w:t>第</w:t>
            </w:r>
            <w:r>
              <w:rPr>
                <w:rFonts w:ascii="宋体" w:hAnsi="宋体" w:hint="eastAsia"/>
                <w:b/>
                <w:kern w:val="0"/>
                <w:szCs w:val="21"/>
              </w:rPr>
              <w:t>7</w:t>
            </w:r>
            <w:r>
              <w:rPr>
                <w:rFonts w:ascii="宋体" w:hAnsi="宋体" w:hint="eastAsia"/>
                <w:b/>
                <w:kern w:val="0"/>
                <w:szCs w:val="21"/>
              </w:rPr>
              <w:t>章</w:t>
            </w:r>
            <w:r>
              <w:rPr>
                <w:rFonts w:ascii="宋体" w:hAnsi="宋体" w:hint="eastAsia"/>
                <w:szCs w:val="21"/>
              </w:rPr>
              <w:t>原子结构</w:t>
            </w:r>
          </w:p>
          <w:p w:rsidR="00880A71" w:rsidRDefault="00990AB3">
            <w:pPr>
              <w:pStyle w:val="a8"/>
              <w:spacing w:after="0" w:line="360" w:lineRule="auto"/>
              <w:rPr>
                <w:rFonts w:ascii="宋体" w:hAnsi="宋体"/>
                <w:szCs w:val="21"/>
              </w:rPr>
            </w:pPr>
            <w:r>
              <w:rPr>
                <w:rFonts w:ascii="宋体" w:hAnsi="宋体" w:hint="eastAsia"/>
                <w:szCs w:val="21"/>
              </w:rPr>
              <w:t>初步了解微观粒子的运动特征；会用四个量子数表示原子核外电了的运动状态；了解原子轨道和电子云的角度分布图；理解多电子原子核外电子的能级；掌握鲍林近似能图；掌握多电子原子核外电子排布规律；掌握原子电子层结构与元素周期表区、族、周期的关系；了解原子半径、电离能、电子亲和能、电负性及主要氧化数的周期性变化规律。</w:t>
            </w:r>
          </w:p>
          <w:p w:rsidR="00880A71" w:rsidRDefault="00990AB3">
            <w:pPr>
              <w:pStyle w:val="a8"/>
              <w:spacing w:after="0" w:line="360" w:lineRule="auto"/>
              <w:ind w:firstLineChars="100" w:firstLine="211"/>
              <w:rPr>
                <w:rFonts w:ascii="宋体" w:hAnsi="宋体"/>
                <w:b/>
                <w:szCs w:val="21"/>
              </w:rPr>
            </w:pPr>
            <w:r>
              <w:rPr>
                <w:rFonts w:ascii="宋体" w:hAnsi="宋体" w:hint="eastAsia"/>
                <w:b/>
                <w:kern w:val="0"/>
                <w:szCs w:val="21"/>
              </w:rPr>
              <w:t>第</w:t>
            </w:r>
            <w:r>
              <w:rPr>
                <w:rFonts w:ascii="宋体" w:hAnsi="宋体" w:hint="eastAsia"/>
                <w:b/>
                <w:kern w:val="0"/>
                <w:szCs w:val="21"/>
              </w:rPr>
              <w:t>8</w:t>
            </w:r>
            <w:r>
              <w:rPr>
                <w:rFonts w:ascii="宋体" w:hAnsi="宋体" w:hint="eastAsia"/>
                <w:b/>
                <w:kern w:val="0"/>
                <w:szCs w:val="21"/>
              </w:rPr>
              <w:t>章</w:t>
            </w:r>
            <w:r>
              <w:rPr>
                <w:rFonts w:ascii="宋体" w:hAnsi="宋体" w:hint="eastAsia"/>
                <w:b/>
                <w:kern w:val="0"/>
                <w:szCs w:val="21"/>
              </w:rPr>
              <w:t xml:space="preserve"> </w:t>
            </w:r>
            <w:r>
              <w:rPr>
                <w:rFonts w:ascii="宋体" w:hAnsi="宋体" w:hint="eastAsia"/>
                <w:b/>
                <w:kern w:val="0"/>
                <w:szCs w:val="21"/>
              </w:rPr>
              <w:t>化学键和</w:t>
            </w:r>
            <w:r>
              <w:rPr>
                <w:rFonts w:ascii="宋体" w:hAnsi="宋体" w:hint="eastAsia"/>
                <w:b/>
                <w:szCs w:val="21"/>
              </w:rPr>
              <w:t>分子结构</w:t>
            </w:r>
          </w:p>
          <w:p w:rsidR="00880A71" w:rsidRDefault="00990AB3">
            <w:pPr>
              <w:pStyle w:val="a4"/>
              <w:spacing w:after="0" w:line="360" w:lineRule="auto"/>
              <w:ind w:left="0" w:firstLineChars="200" w:firstLine="420"/>
              <w:rPr>
                <w:rFonts w:ascii="宋体" w:hAnsi="宋体"/>
                <w:szCs w:val="21"/>
              </w:rPr>
            </w:pPr>
            <w:r>
              <w:rPr>
                <w:rFonts w:ascii="宋体" w:hAnsi="宋体" w:hint="eastAsia"/>
                <w:szCs w:val="21"/>
              </w:rPr>
              <w:t>了解离子键的形成和特征；了解离子的电子层结构特征；了解三种典型的</w:t>
            </w:r>
            <w:r>
              <w:rPr>
                <w:rFonts w:ascii="宋体" w:hAnsi="宋体" w:hint="eastAsia"/>
                <w:szCs w:val="21"/>
              </w:rPr>
              <w:t>AB</w:t>
            </w:r>
            <w:r>
              <w:rPr>
                <w:rFonts w:ascii="宋体" w:hAnsi="宋体" w:hint="eastAsia"/>
                <w:szCs w:val="21"/>
              </w:rPr>
              <w:t>型离子晶体的结构特征；理解离子极化及其对晶体构型和物质性质的影响；掌握晶格能对离子晶体硬度和熔点的影响；理解共价键的形成、特征和类型；了解化学键参数；会用杂化轨道理论说明分子（离子）的空间构型；了解分子轨道理论；学会用分子轨道理论说明同核双原子分子（离子）的稳定性、磁性；了解</w:t>
            </w:r>
            <w:r>
              <w:rPr>
                <w:rFonts w:ascii="宋体" w:hAnsi="宋体" w:hint="eastAsia"/>
                <w:szCs w:val="21"/>
              </w:rPr>
              <w:t>p</w:t>
            </w:r>
            <w:r>
              <w:rPr>
                <w:rFonts w:ascii="宋体" w:hAnsi="宋体" w:hint="eastAsia"/>
                <w:szCs w:val="21"/>
              </w:rPr>
              <w:t>轨道间的离域π键的形成和对物质性质的影响；了解分子的极性和分子的极化；会用分子间力说明物质的聚集状态和物理性质；掌握氢键</w:t>
            </w:r>
            <w:r>
              <w:rPr>
                <w:rFonts w:ascii="宋体" w:hAnsi="宋体" w:hint="eastAsia"/>
                <w:szCs w:val="21"/>
              </w:rPr>
              <w:lastRenderedPageBreak/>
              <w:t>的形成和特性、氢键对物质性质的影响。</w:t>
            </w:r>
          </w:p>
          <w:p w:rsidR="00880A71" w:rsidRDefault="00990AB3">
            <w:pPr>
              <w:pStyle w:val="a8"/>
              <w:spacing w:after="0" w:line="360" w:lineRule="auto"/>
              <w:ind w:firstLineChars="100" w:firstLine="211"/>
              <w:rPr>
                <w:rFonts w:ascii="宋体" w:hAnsi="宋体"/>
                <w:b/>
                <w:szCs w:val="21"/>
              </w:rPr>
            </w:pPr>
            <w:r>
              <w:rPr>
                <w:rFonts w:ascii="宋体" w:hAnsi="宋体" w:hint="eastAsia"/>
                <w:b/>
                <w:kern w:val="0"/>
                <w:szCs w:val="21"/>
              </w:rPr>
              <w:t>第</w:t>
            </w:r>
            <w:r>
              <w:rPr>
                <w:rFonts w:ascii="宋体" w:hAnsi="宋体" w:hint="eastAsia"/>
                <w:b/>
                <w:kern w:val="0"/>
                <w:szCs w:val="21"/>
              </w:rPr>
              <w:t>9</w:t>
            </w:r>
            <w:r>
              <w:rPr>
                <w:rFonts w:ascii="宋体" w:hAnsi="宋体" w:hint="eastAsia"/>
                <w:b/>
                <w:kern w:val="0"/>
                <w:szCs w:val="21"/>
              </w:rPr>
              <w:t>章</w:t>
            </w:r>
            <w:r>
              <w:rPr>
                <w:rFonts w:ascii="宋体" w:hAnsi="宋体" w:hint="eastAsia"/>
                <w:b/>
                <w:szCs w:val="21"/>
              </w:rPr>
              <w:t>配</w:t>
            </w:r>
            <w:r>
              <w:rPr>
                <w:rFonts w:ascii="宋体" w:hAnsi="宋体" w:hint="eastAsia"/>
                <w:b/>
                <w:szCs w:val="21"/>
              </w:rPr>
              <w:t>位化合物和配位滴定法</w:t>
            </w:r>
          </w:p>
          <w:p w:rsidR="00880A71" w:rsidRDefault="00990AB3">
            <w:pPr>
              <w:pStyle w:val="a8"/>
              <w:spacing w:after="0" w:line="360" w:lineRule="auto"/>
              <w:rPr>
                <w:rFonts w:ascii="宋体" w:hAnsi="宋体"/>
                <w:szCs w:val="21"/>
              </w:rPr>
            </w:pPr>
            <w:r>
              <w:rPr>
                <w:rFonts w:ascii="宋体" w:hAnsi="宋体" w:hint="eastAsia"/>
                <w:szCs w:val="21"/>
              </w:rPr>
              <w:t>掌握配位化合物的基本概念（组成、命名、磁性）；了解配位化合物的价键理论；掌握配位平衡的平衡常数的各种表示方法；会对配体浓度大大过量的配位平衡进行计算；掌握配位平衡与酸碱平衡、配位平衡与沉淀平衡、配位平衡与氧化还原反应、配离子之间的转化平衡的有关反应方向、平衡组分、电势电势及平衡常数的计算；了解螯合物的组成、特性及及应用；了解</w:t>
            </w:r>
            <w:r>
              <w:rPr>
                <w:rFonts w:ascii="宋体" w:hAnsi="宋体" w:hint="eastAsia"/>
                <w:szCs w:val="21"/>
              </w:rPr>
              <w:t>EDTA</w:t>
            </w:r>
            <w:r>
              <w:rPr>
                <w:rFonts w:ascii="宋体" w:hAnsi="宋体" w:hint="eastAsia"/>
                <w:szCs w:val="21"/>
              </w:rPr>
              <w:t>的性质及</w:t>
            </w:r>
            <w:r>
              <w:rPr>
                <w:rFonts w:ascii="宋体" w:hAnsi="宋体" w:hint="eastAsia"/>
                <w:szCs w:val="21"/>
              </w:rPr>
              <w:t>EDTA</w:t>
            </w:r>
            <w:r>
              <w:rPr>
                <w:rFonts w:ascii="宋体" w:hAnsi="宋体" w:hint="eastAsia"/>
                <w:szCs w:val="21"/>
              </w:rPr>
              <w:t>与金属离子的反应情况；掌握</w:t>
            </w:r>
            <w:r>
              <w:rPr>
                <w:rFonts w:ascii="宋体" w:hAnsi="宋体" w:hint="eastAsia"/>
                <w:szCs w:val="21"/>
              </w:rPr>
              <w:t>EDTA</w:t>
            </w:r>
            <w:r>
              <w:rPr>
                <w:rFonts w:ascii="宋体" w:hAnsi="宋体" w:hint="eastAsia"/>
                <w:szCs w:val="21"/>
              </w:rPr>
              <w:t>的酸效应及酸效应系数；了解金属离子的副反应及副反应系数；掌握条件稳定常数、配位滴定</w:t>
            </w:r>
            <w:r>
              <w:rPr>
                <w:rFonts w:ascii="宋体" w:hAnsi="宋体"/>
                <w:szCs w:val="21"/>
              </w:rPr>
              <w:t>p</w:t>
            </w:r>
            <w:r>
              <w:rPr>
                <w:rFonts w:ascii="宋体" w:hAnsi="宋体" w:hint="eastAsia"/>
                <w:szCs w:val="21"/>
              </w:rPr>
              <w:t>H</w:t>
            </w:r>
            <w:r>
              <w:rPr>
                <w:rFonts w:ascii="宋体" w:hAnsi="宋体" w:hint="eastAsia"/>
                <w:szCs w:val="21"/>
              </w:rPr>
              <w:t>范围的控制、最低和最</w:t>
            </w:r>
            <w:r>
              <w:rPr>
                <w:rFonts w:ascii="宋体" w:hAnsi="宋体" w:hint="eastAsia"/>
                <w:szCs w:val="21"/>
              </w:rPr>
              <w:t>高</w:t>
            </w:r>
            <w:r>
              <w:rPr>
                <w:rFonts w:ascii="宋体" w:hAnsi="宋体" w:hint="eastAsia"/>
                <w:szCs w:val="21"/>
              </w:rPr>
              <w:t>pH</w:t>
            </w:r>
            <w:r>
              <w:rPr>
                <w:rFonts w:ascii="宋体" w:hAnsi="宋体" w:hint="eastAsia"/>
                <w:szCs w:val="21"/>
              </w:rPr>
              <w:t>的确定；了解配位滴定曲线、滴定突跃及影响因素；了解金属指示剂的作用原理及配位滴定对金属指示剂的要求；了解指示剂的封闭和僵化现象；了解常见金属指示剂的适用对象及使用的</w:t>
            </w:r>
            <w:r>
              <w:rPr>
                <w:rFonts w:ascii="宋体" w:hAnsi="宋体"/>
                <w:szCs w:val="21"/>
              </w:rPr>
              <w:t>p</w:t>
            </w:r>
            <w:r>
              <w:rPr>
                <w:rFonts w:ascii="宋体" w:hAnsi="宋体" w:hint="eastAsia"/>
                <w:szCs w:val="21"/>
              </w:rPr>
              <w:t>H</w:t>
            </w:r>
            <w:r>
              <w:rPr>
                <w:rFonts w:ascii="宋体" w:hAnsi="宋体" w:hint="eastAsia"/>
                <w:szCs w:val="21"/>
              </w:rPr>
              <w:t>范围；掌握单组分含量测定的直接滴定法、间接滴定法、返滴定法、置换滴定法。掌握用控制酸度的方法进行分别滴定或消除干扰的条件及方法；了解配位滴定中的掩蔽和解蔽方法。</w:t>
            </w:r>
          </w:p>
          <w:p w:rsidR="00880A71" w:rsidRDefault="00990AB3">
            <w:pPr>
              <w:spacing w:line="360" w:lineRule="auto"/>
              <w:ind w:firstLineChars="100" w:firstLine="211"/>
              <w:rPr>
                <w:rFonts w:ascii="宋体" w:eastAsia="宋体" w:hAnsi="宋体"/>
                <w:b/>
                <w:sz w:val="21"/>
                <w:szCs w:val="21"/>
              </w:rPr>
            </w:pPr>
            <w:r>
              <w:rPr>
                <w:rFonts w:ascii="宋体" w:eastAsia="宋体" w:hAnsi="宋体" w:hint="eastAsia"/>
                <w:b/>
                <w:sz w:val="21"/>
                <w:szCs w:val="21"/>
              </w:rPr>
              <w:t>第</w:t>
            </w:r>
            <w:r>
              <w:rPr>
                <w:rFonts w:ascii="宋体" w:eastAsia="宋体" w:hAnsi="宋体" w:hint="eastAsia"/>
                <w:b/>
                <w:sz w:val="21"/>
                <w:szCs w:val="21"/>
              </w:rPr>
              <w:t>10</w:t>
            </w:r>
            <w:r>
              <w:rPr>
                <w:rFonts w:ascii="宋体" w:eastAsia="宋体" w:hAnsi="宋体" w:hint="eastAsia"/>
                <w:b/>
                <w:sz w:val="21"/>
                <w:szCs w:val="21"/>
              </w:rPr>
              <w:t>～</w:t>
            </w:r>
            <w:r>
              <w:rPr>
                <w:rFonts w:ascii="宋体" w:eastAsia="宋体" w:hAnsi="宋体" w:hint="eastAsia"/>
                <w:b/>
                <w:sz w:val="21"/>
                <w:szCs w:val="21"/>
              </w:rPr>
              <w:t>12</w:t>
            </w:r>
            <w:r>
              <w:rPr>
                <w:rFonts w:ascii="宋体" w:eastAsia="宋体" w:hAnsi="宋体" w:hint="eastAsia"/>
                <w:b/>
                <w:sz w:val="21"/>
                <w:szCs w:val="21"/>
              </w:rPr>
              <w:t>章</w:t>
            </w:r>
            <w:r>
              <w:rPr>
                <w:rFonts w:ascii="宋体" w:eastAsia="宋体" w:hAnsi="宋体" w:hint="eastAsia"/>
                <w:b/>
                <w:sz w:val="21"/>
                <w:szCs w:val="21"/>
              </w:rPr>
              <w:t xml:space="preserve"> </w:t>
            </w:r>
            <w:r>
              <w:rPr>
                <w:rFonts w:ascii="宋体" w:eastAsia="宋体" w:hAnsi="宋体" w:hint="eastAsia"/>
                <w:b/>
                <w:sz w:val="21"/>
                <w:szCs w:val="21"/>
              </w:rPr>
              <w:t>元素化学</w:t>
            </w:r>
          </w:p>
          <w:p w:rsidR="00880A71" w:rsidRDefault="00990AB3">
            <w:pPr>
              <w:pStyle w:val="a8"/>
              <w:spacing w:after="0" w:line="360" w:lineRule="auto"/>
              <w:rPr>
                <w:rFonts w:ascii="宋体" w:hAnsi="宋体"/>
                <w:bCs/>
              </w:rPr>
            </w:pPr>
            <w:r>
              <w:rPr>
                <w:rFonts w:ascii="宋体" w:hAnsi="宋体" w:hint="eastAsia"/>
                <w:szCs w:val="21"/>
              </w:rPr>
              <w:t>了解元素化学中的几个概念及其应用：</w:t>
            </w:r>
            <w:r>
              <w:rPr>
                <w:rFonts w:ascii="宋体" w:hAnsi="宋体" w:hint="eastAsia"/>
                <w:szCs w:val="21"/>
              </w:rPr>
              <w:t>ROH</w:t>
            </w:r>
            <w:r>
              <w:rPr>
                <w:rFonts w:ascii="宋体" w:hAnsi="宋体" w:hint="eastAsia"/>
                <w:szCs w:val="21"/>
              </w:rPr>
              <w:t>规则、对角线关系、镧系收缩、惰性电子对效应；了解简单缺电子化合物的结构与特性（硼烷、酸硼和硼砂）；</w:t>
            </w:r>
            <w:r>
              <w:rPr>
                <w:rFonts w:ascii="宋体" w:hAnsi="宋体" w:hint="eastAsia"/>
                <w:szCs w:val="21"/>
              </w:rPr>
              <w:t xml:space="preserve"> </w:t>
            </w:r>
            <w:r>
              <w:rPr>
                <w:rFonts w:ascii="宋体" w:hAnsi="宋体" w:hint="eastAsia"/>
                <w:szCs w:val="21"/>
              </w:rPr>
              <w:t>了解过渡元</w:t>
            </w:r>
            <w:r>
              <w:rPr>
                <w:rFonts w:ascii="宋体" w:hAnsi="宋体" w:hint="eastAsia"/>
                <w:szCs w:val="21"/>
              </w:rPr>
              <w:t>素的通性；掌握铬、锰、铁、钴、镍的常见化合物的性质及其应用；了解铜族元素和锌族元素的通性；掌握铜、汞常见化合物的性质和应用。</w:t>
            </w:r>
          </w:p>
          <w:p w:rsidR="00880A71" w:rsidRDefault="00880A71" w:rsidP="00503215">
            <w:pPr>
              <w:spacing w:afterLines="15"/>
              <w:ind w:leftChars="-50" w:left="-120" w:rightChars="-50" w:right="-120"/>
              <w:jc w:val="left"/>
              <w:rPr>
                <w:rFonts w:ascii="宋体" w:hAnsi="宋体"/>
                <w:bCs/>
              </w:rPr>
            </w:pPr>
          </w:p>
        </w:tc>
      </w:tr>
      <w:tr w:rsidR="00880A71">
        <w:trPr>
          <w:trHeight w:val="929"/>
        </w:trPr>
        <w:tc>
          <w:tcPr>
            <w:tcW w:w="8364" w:type="dxa"/>
            <w:gridSpan w:val="2"/>
          </w:tcPr>
          <w:p w:rsidR="00880A71" w:rsidRDefault="00990AB3" w:rsidP="00503215">
            <w:pPr>
              <w:spacing w:afterLines="15"/>
              <w:ind w:leftChars="-50" w:left="-120" w:rightChars="-50" w:right="-120"/>
              <w:jc w:val="left"/>
              <w:rPr>
                <w:rFonts w:ascii="宋体" w:hAnsi="宋体"/>
                <w:bCs/>
              </w:rPr>
            </w:pPr>
            <w:r>
              <w:rPr>
                <w:rFonts w:ascii="宋体" w:hAnsi="宋体" w:hint="eastAsia"/>
                <w:bCs/>
              </w:rPr>
              <w:lastRenderedPageBreak/>
              <w:t>二、考试要求（包括题型、分数比例、是否使用计算器等）</w:t>
            </w:r>
          </w:p>
          <w:p w:rsidR="00880A71" w:rsidRDefault="00990AB3" w:rsidP="00503215">
            <w:pPr>
              <w:spacing w:afterLines="15"/>
              <w:ind w:leftChars="-50" w:left="-120" w:rightChars="-50" w:right="-120"/>
              <w:jc w:val="left"/>
              <w:rPr>
                <w:rFonts w:ascii="宋体" w:hAnsi="宋体"/>
                <w:bCs/>
              </w:rPr>
            </w:pPr>
            <w:r>
              <w:rPr>
                <w:rFonts w:ascii="宋体" w:hAnsi="宋体" w:hint="eastAsia"/>
                <w:bCs/>
              </w:rPr>
              <w:t xml:space="preserve"> </w:t>
            </w:r>
            <w:r>
              <w:rPr>
                <w:rFonts w:ascii="宋体" w:hAnsi="宋体" w:hint="eastAsia"/>
                <w:bCs/>
              </w:rPr>
              <w:t>填空题</w:t>
            </w:r>
            <w:r>
              <w:rPr>
                <w:rFonts w:ascii="宋体" w:hAnsi="宋体" w:hint="eastAsia"/>
                <w:bCs/>
              </w:rPr>
              <w:t xml:space="preserve"> 30/150 </w:t>
            </w:r>
            <w:r>
              <w:rPr>
                <w:rFonts w:ascii="宋体" w:hAnsi="宋体" w:hint="eastAsia"/>
                <w:bCs/>
              </w:rPr>
              <w:t>问答题</w:t>
            </w:r>
            <w:r>
              <w:rPr>
                <w:rFonts w:ascii="宋体" w:hAnsi="宋体" w:hint="eastAsia"/>
                <w:bCs/>
              </w:rPr>
              <w:t xml:space="preserve">80/150  </w:t>
            </w:r>
            <w:r>
              <w:rPr>
                <w:rFonts w:ascii="宋体" w:hAnsi="宋体" w:hint="eastAsia"/>
                <w:bCs/>
              </w:rPr>
              <w:t>计算题</w:t>
            </w:r>
            <w:r>
              <w:rPr>
                <w:rFonts w:ascii="宋体" w:hAnsi="宋体" w:hint="eastAsia"/>
                <w:bCs/>
              </w:rPr>
              <w:t>40</w:t>
            </w:r>
            <w:bookmarkStart w:id="0" w:name="_GoBack"/>
            <w:bookmarkEnd w:id="0"/>
            <w:r>
              <w:rPr>
                <w:rFonts w:ascii="宋体" w:hAnsi="宋体" w:hint="eastAsia"/>
                <w:bCs/>
              </w:rPr>
              <w:t>/150</w:t>
            </w:r>
            <w:r>
              <w:rPr>
                <w:rFonts w:ascii="宋体" w:hAnsi="宋体" w:hint="eastAsia"/>
                <w:bCs/>
              </w:rPr>
              <w:t>。</w:t>
            </w:r>
            <w:r>
              <w:rPr>
                <w:rFonts w:ascii="宋体" w:hAnsi="宋体" w:hint="eastAsia"/>
                <w:bCs/>
              </w:rPr>
              <w:t xml:space="preserve">  </w:t>
            </w:r>
          </w:p>
          <w:p w:rsidR="00880A71" w:rsidRDefault="00990AB3" w:rsidP="00503215">
            <w:pPr>
              <w:spacing w:afterLines="15"/>
              <w:ind w:leftChars="-50" w:left="-120" w:rightChars="-50" w:right="-120"/>
              <w:jc w:val="left"/>
              <w:rPr>
                <w:rFonts w:ascii="宋体" w:hAnsi="宋体"/>
                <w:bCs/>
              </w:rPr>
            </w:pPr>
            <w:r>
              <w:rPr>
                <w:rFonts w:ascii="宋体" w:hAnsi="宋体" w:hint="eastAsia"/>
                <w:bCs/>
              </w:rPr>
              <w:t xml:space="preserve"> </w:t>
            </w:r>
            <w:r>
              <w:rPr>
                <w:rFonts w:ascii="宋体" w:hAnsi="宋体" w:hint="eastAsia"/>
                <w:bCs/>
              </w:rPr>
              <w:t>要使用计算器。</w:t>
            </w:r>
          </w:p>
        </w:tc>
      </w:tr>
      <w:tr w:rsidR="00880A71">
        <w:trPr>
          <w:trHeight w:val="1151"/>
        </w:trPr>
        <w:tc>
          <w:tcPr>
            <w:tcW w:w="8364" w:type="dxa"/>
            <w:gridSpan w:val="2"/>
          </w:tcPr>
          <w:p w:rsidR="00880A71" w:rsidRDefault="00990AB3" w:rsidP="00503215">
            <w:pPr>
              <w:spacing w:afterLines="15"/>
              <w:ind w:leftChars="-50" w:left="-120" w:rightChars="-50" w:right="-120"/>
              <w:jc w:val="left"/>
              <w:rPr>
                <w:rFonts w:ascii="宋体" w:hAnsi="宋体"/>
                <w:bCs/>
              </w:rPr>
            </w:pPr>
            <w:r>
              <w:rPr>
                <w:rFonts w:ascii="宋体" w:hAnsi="宋体" w:hint="eastAsia"/>
                <w:bCs/>
              </w:rPr>
              <w:t>三、主要参考书目</w:t>
            </w:r>
          </w:p>
          <w:p w:rsidR="00880A71" w:rsidRDefault="00990AB3" w:rsidP="00503215">
            <w:pPr>
              <w:spacing w:afterLines="15"/>
              <w:ind w:leftChars="-50" w:left="-120" w:rightChars="-50" w:right="-120"/>
              <w:jc w:val="left"/>
              <w:rPr>
                <w:rFonts w:ascii="宋体" w:hAnsi="宋体"/>
                <w:bCs/>
              </w:rPr>
            </w:pPr>
            <w:r>
              <w:rPr>
                <w:rFonts w:ascii="宋体" w:hAnsi="宋体" w:hint="eastAsia"/>
                <w:bCs/>
              </w:rPr>
              <w:t>《无机与分析化学》第</w:t>
            </w:r>
            <w:r>
              <w:rPr>
                <w:rFonts w:ascii="宋体" w:hAnsi="宋体" w:hint="eastAsia"/>
                <w:bCs/>
                <w:color w:val="FF0000"/>
              </w:rPr>
              <w:t>三</w:t>
            </w:r>
            <w:r>
              <w:rPr>
                <w:rFonts w:ascii="宋体" w:hAnsi="宋体" w:hint="eastAsia"/>
                <w:bCs/>
              </w:rPr>
              <w:t>版，陈若愚主编，大连理工大学出版社。</w:t>
            </w:r>
          </w:p>
        </w:tc>
      </w:tr>
    </w:tbl>
    <w:p w:rsidR="00880A71" w:rsidRDefault="00880A71">
      <w:pPr>
        <w:spacing w:line="360" w:lineRule="auto"/>
        <w:ind w:firstLineChars="100" w:firstLine="241"/>
        <w:jc w:val="left"/>
        <w:rPr>
          <w:rFonts w:ascii="宋体" w:eastAsia="宋体" w:hAnsi="宋体"/>
          <w:b/>
          <w:kern w:val="0"/>
          <w:szCs w:val="21"/>
        </w:rPr>
      </w:pPr>
    </w:p>
    <w:sectPr w:rsidR="00880A71" w:rsidSect="00880A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AB3" w:rsidRDefault="00990AB3" w:rsidP="00503215">
      <w:r>
        <w:separator/>
      </w:r>
    </w:p>
  </w:endnote>
  <w:endnote w:type="continuationSeparator" w:id="0">
    <w:p w:rsidR="00990AB3" w:rsidRDefault="00990AB3" w:rsidP="0050321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AB3" w:rsidRDefault="00990AB3" w:rsidP="00503215">
      <w:r>
        <w:separator/>
      </w:r>
    </w:p>
  </w:footnote>
  <w:footnote w:type="continuationSeparator" w:id="0">
    <w:p w:rsidR="00990AB3" w:rsidRDefault="00990AB3" w:rsidP="005032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6D0"/>
    <w:rsid w:val="00034858"/>
    <w:rsid w:val="000C38D9"/>
    <w:rsid w:val="00165508"/>
    <w:rsid w:val="001B4874"/>
    <w:rsid w:val="0020345F"/>
    <w:rsid w:val="002049B8"/>
    <w:rsid w:val="00326D67"/>
    <w:rsid w:val="003926D0"/>
    <w:rsid w:val="003E482A"/>
    <w:rsid w:val="004529D7"/>
    <w:rsid w:val="004D5435"/>
    <w:rsid w:val="00503215"/>
    <w:rsid w:val="00527016"/>
    <w:rsid w:val="0059449D"/>
    <w:rsid w:val="005A705C"/>
    <w:rsid w:val="005E2585"/>
    <w:rsid w:val="006051CD"/>
    <w:rsid w:val="0068111F"/>
    <w:rsid w:val="00692CF3"/>
    <w:rsid w:val="006A0927"/>
    <w:rsid w:val="006B5D30"/>
    <w:rsid w:val="006D7D02"/>
    <w:rsid w:val="00755E77"/>
    <w:rsid w:val="00794552"/>
    <w:rsid w:val="00880A71"/>
    <w:rsid w:val="008810C7"/>
    <w:rsid w:val="008D6FD7"/>
    <w:rsid w:val="0091001C"/>
    <w:rsid w:val="00917237"/>
    <w:rsid w:val="00956A3D"/>
    <w:rsid w:val="00990AB3"/>
    <w:rsid w:val="009A7D7B"/>
    <w:rsid w:val="009D2DA8"/>
    <w:rsid w:val="00A10D90"/>
    <w:rsid w:val="00A47D29"/>
    <w:rsid w:val="00A83A33"/>
    <w:rsid w:val="00B26FC8"/>
    <w:rsid w:val="00BC4B22"/>
    <w:rsid w:val="00C53DD9"/>
    <w:rsid w:val="00DB3B7C"/>
    <w:rsid w:val="00EB3CD6"/>
    <w:rsid w:val="00EF3D81"/>
    <w:rsid w:val="00F570BD"/>
    <w:rsid w:val="00FB524E"/>
    <w:rsid w:val="00FD094E"/>
    <w:rsid w:val="127434A2"/>
    <w:rsid w:val="169A528A"/>
    <w:rsid w:val="28915C7D"/>
    <w:rsid w:val="2C521728"/>
    <w:rsid w:val="5D4314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Body Text First Indent" w:semiHidden="0" w:uiPriority="0" w:unhideWhenUsed="0"/>
    <w:lsdException w:name="Body Text First Indent 2" w:semiHidden="0" w:uiPriority="0" w:unhideWhenUsed="0"/>
    <w:lsdException w:name="Strong" w:semiHidden="0" w:uiPriority="22" w:unhideWhenUsed="0" w:qFormat="1"/>
    <w:lsdException w:name="Emphasis" w:semiHidden="0" w:uiPriority="20" w:unhideWhenUsed="0" w:qFormat="1"/>
    <w:lsdException w:name="Normal (Web)" w:semiHidden="0"/>
    <w:lsdException w:name="HTML Preformatted"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71"/>
    <w:pPr>
      <w:widowControl w:val="0"/>
      <w:jc w:val="both"/>
    </w:pPr>
    <w:rPr>
      <w:rFonts w:ascii="Times New Roman" w:eastAsia="楷体_GB2312" w:hAnsi="Times New Roman" w:cs="Times New Roman"/>
      <w:kern w:val="2"/>
      <w:sz w:val="24"/>
      <w:szCs w:val="24"/>
    </w:rPr>
  </w:style>
  <w:style w:type="paragraph" w:styleId="1">
    <w:name w:val="heading 1"/>
    <w:basedOn w:val="a"/>
    <w:next w:val="a"/>
    <w:link w:val="1Char"/>
    <w:qFormat/>
    <w:rsid w:val="00880A71"/>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80A71"/>
    <w:pPr>
      <w:spacing w:after="120"/>
    </w:pPr>
  </w:style>
  <w:style w:type="paragraph" w:styleId="a4">
    <w:name w:val="Body Text Indent"/>
    <w:basedOn w:val="a"/>
    <w:link w:val="Char0"/>
    <w:rsid w:val="00880A71"/>
    <w:pPr>
      <w:spacing w:after="120"/>
      <w:ind w:left="420"/>
    </w:pPr>
    <w:rPr>
      <w:rFonts w:eastAsia="宋体"/>
      <w:sz w:val="21"/>
      <w:szCs w:val="20"/>
    </w:rPr>
  </w:style>
  <w:style w:type="paragraph" w:styleId="a5">
    <w:name w:val="footer"/>
    <w:basedOn w:val="a"/>
    <w:link w:val="Char1"/>
    <w:uiPriority w:val="99"/>
    <w:unhideWhenUsed/>
    <w:qFormat/>
    <w:rsid w:val="00880A7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80A7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880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rPr>
  </w:style>
  <w:style w:type="paragraph" w:styleId="a7">
    <w:name w:val="Normal (Web)"/>
    <w:basedOn w:val="a"/>
    <w:uiPriority w:val="99"/>
    <w:unhideWhenUsed/>
    <w:rsid w:val="00880A71"/>
    <w:rPr>
      <w:rFonts w:eastAsia="宋体"/>
      <w:szCs w:val="20"/>
    </w:rPr>
  </w:style>
  <w:style w:type="paragraph" w:styleId="a8">
    <w:name w:val="Body Text First Indent"/>
    <w:basedOn w:val="a3"/>
    <w:link w:val="Char3"/>
    <w:rsid w:val="00880A71"/>
    <w:pPr>
      <w:ind w:firstLine="420"/>
    </w:pPr>
    <w:rPr>
      <w:rFonts w:eastAsia="宋体"/>
      <w:sz w:val="21"/>
      <w:szCs w:val="20"/>
    </w:rPr>
  </w:style>
  <w:style w:type="paragraph" w:styleId="2">
    <w:name w:val="Body Text First Indent 2"/>
    <w:basedOn w:val="a4"/>
    <w:link w:val="2Char"/>
    <w:rsid w:val="00880A71"/>
    <w:pPr>
      <w:ind w:firstLine="210"/>
    </w:pPr>
  </w:style>
  <w:style w:type="character" w:customStyle="1" w:styleId="1Char">
    <w:name w:val="标题 1 Char"/>
    <w:basedOn w:val="a0"/>
    <w:link w:val="1"/>
    <w:rsid w:val="00880A71"/>
    <w:rPr>
      <w:rFonts w:ascii="Times New Roman" w:eastAsia="宋体" w:hAnsi="Times New Roman" w:cs="Times New Roman"/>
      <w:b/>
      <w:bCs/>
      <w:kern w:val="44"/>
      <w:sz w:val="44"/>
      <w:szCs w:val="44"/>
    </w:rPr>
  </w:style>
  <w:style w:type="character" w:customStyle="1" w:styleId="HTMLChar">
    <w:name w:val="HTML 预设格式 Char"/>
    <w:link w:val="HTML"/>
    <w:rsid w:val="00880A71"/>
    <w:rPr>
      <w:rFonts w:ascii="宋体" w:hAnsi="宋体"/>
      <w:sz w:val="24"/>
      <w:szCs w:val="24"/>
    </w:rPr>
  </w:style>
  <w:style w:type="character" w:customStyle="1" w:styleId="HTML0">
    <w:name w:val="HTML 预设格式 字符"/>
    <w:basedOn w:val="a0"/>
    <w:uiPriority w:val="99"/>
    <w:semiHidden/>
    <w:rsid w:val="00880A71"/>
    <w:rPr>
      <w:rFonts w:ascii="Courier New" w:eastAsia="楷体_GB2312" w:hAnsi="Courier New" w:cs="Courier New"/>
      <w:sz w:val="20"/>
      <w:szCs w:val="20"/>
    </w:rPr>
  </w:style>
  <w:style w:type="character" w:customStyle="1" w:styleId="Char2">
    <w:name w:val="页眉 Char"/>
    <w:basedOn w:val="a0"/>
    <w:link w:val="a6"/>
    <w:uiPriority w:val="99"/>
    <w:rsid w:val="00880A71"/>
    <w:rPr>
      <w:rFonts w:ascii="Times New Roman" w:eastAsia="楷体_GB2312" w:hAnsi="Times New Roman" w:cs="Times New Roman"/>
      <w:sz w:val="18"/>
      <w:szCs w:val="18"/>
    </w:rPr>
  </w:style>
  <w:style w:type="character" w:customStyle="1" w:styleId="Char1">
    <w:name w:val="页脚 Char"/>
    <w:basedOn w:val="a0"/>
    <w:link w:val="a5"/>
    <w:uiPriority w:val="99"/>
    <w:rsid w:val="00880A71"/>
    <w:rPr>
      <w:rFonts w:ascii="Times New Roman" w:eastAsia="楷体_GB2312" w:hAnsi="Times New Roman" w:cs="Times New Roman"/>
      <w:sz w:val="18"/>
      <w:szCs w:val="18"/>
    </w:rPr>
  </w:style>
  <w:style w:type="character" w:customStyle="1" w:styleId="Char0">
    <w:name w:val="正文文本缩进 Char"/>
    <w:basedOn w:val="a0"/>
    <w:link w:val="a4"/>
    <w:rsid w:val="00880A71"/>
    <w:rPr>
      <w:rFonts w:ascii="Times New Roman" w:eastAsia="宋体" w:hAnsi="Times New Roman" w:cs="Times New Roman"/>
      <w:kern w:val="2"/>
      <w:sz w:val="21"/>
    </w:rPr>
  </w:style>
  <w:style w:type="character" w:customStyle="1" w:styleId="Char">
    <w:name w:val="正文文本 Char"/>
    <w:basedOn w:val="a0"/>
    <w:link w:val="a3"/>
    <w:uiPriority w:val="99"/>
    <w:semiHidden/>
    <w:rsid w:val="00880A71"/>
    <w:rPr>
      <w:rFonts w:ascii="Times New Roman" w:eastAsia="楷体_GB2312" w:hAnsi="Times New Roman" w:cs="Times New Roman"/>
      <w:kern w:val="2"/>
      <w:sz w:val="24"/>
      <w:szCs w:val="24"/>
    </w:rPr>
  </w:style>
  <w:style w:type="character" w:customStyle="1" w:styleId="Char3">
    <w:name w:val="正文首行缩进 Char"/>
    <w:basedOn w:val="Char"/>
    <w:link w:val="a8"/>
    <w:rsid w:val="00880A71"/>
    <w:rPr>
      <w:rFonts w:ascii="Times New Roman" w:eastAsia="宋体" w:hAnsi="Times New Roman" w:cs="Times New Roman"/>
      <w:kern w:val="2"/>
      <w:sz w:val="21"/>
      <w:szCs w:val="24"/>
    </w:rPr>
  </w:style>
  <w:style w:type="character" w:customStyle="1" w:styleId="2Char">
    <w:name w:val="正文首行缩进 2 Char"/>
    <w:basedOn w:val="Char0"/>
    <w:link w:val="2"/>
    <w:rsid w:val="00880A71"/>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399</Words>
  <Characters>2279</Characters>
  <Application>Microsoft Office Word</Application>
  <DocSecurity>0</DocSecurity>
  <Lines>18</Lines>
  <Paragraphs>5</Paragraphs>
  <ScaleCrop>false</ScaleCrop>
  <Company>Microsoft</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shxdu</dc:creator>
  <cp:lastModifiedBy>微软用户</cp:lastModifiedBy>
  <cp:revision>20</cp:revision>
  <dcterms:created xsi:type="dcterms:W3CDTF">2020-09-06T12:48:00Z</dcterms:created>
  <dcterms:modified xsi:type="dcterms:W3CDTF">2021-05-24T02:54:00Z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015126C5D4634652AF86C6661FC3024D</vt:lpwstr>
  </property>
</Properties>
</file>